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E36" w:rsidRDefault="00337467" w:rsidP="00AD40DB">
      <w:pPr>
        <w:jc w:val="center"/>
        <w:rPr>
          <w:lang w:val="mn-MN"/>
        </w:rPr>
      </w:pPr>
      <w:r>
        <w:rPr>
          <w:lang w:val="mn-MN"/>
        </w:rPr>
        <w:t>ЭРҮҮЛ МЭНДИЙН ЯАМ</w:t>
      </w:r>
    </w:p>
    <w:p w:rsidR="00337467" w:rsidRDefault="00AD40DB" w:rsidP="00337467">
      <w:pPr>
        <w:spacing w:after="0"/>
        <w:jc w:val="center"/>
        <w:rPr>
          <w:lang w:val="mn-MN"/>
        </w:rPr>
      </w:pPr>
      <w:r>
        <w:rPr>
          <w:lang w:val="mn-MN"/>
        </w:rPr>
        <w:t xml:space="preserve">ЗГ-ЫН 11-11 ТӨВД ИРҮҮЛСЭН ӨРГӨДӨЛ, ГОМДЛЫГ </w:t>
      </w:r>
    </w:p>
    <w:p w:rsidR="00155226" w:rsidRDefault="00AD40DB" w:rsidP="00337467">
      <w:pPr>
        <w:spacing w:after="0"/>
        <w:jc w:val="center"/>
        <w:rPr>
          <w:lang w:val="mn-MN"/>
        </w:rPr>
      </w:pPr>
      <w:r>
        <w:rPr>
          <w:lang w:val="mn-MN"/>
        </w:rPr>
        <w:t>ШИЙДВЭРЛЭСЭН ТОВЧ ТАЙЛАН</w:t>
      </w:r>
    </w:p>
    <w:p w:rsidR="00337467" w:rsidRDefault="00337467" w:rsidP="00337467">
      <w:pPr>
        <w:spacing w:after="0"/>
        <w:jc w:val="center"/>
        <w:rPr>
          <w:lang w:val="mn-MN"/>
        </w:rPr>
      </w:pPr>
    </w:p>
    <w:p w:rsidR="00C540AA" w:rsidRDefault="00AD40DB" w:rsidP="0070267C">
      <w:pPr>
        <w:spacing w:line="360" w:lineRule="auto"/>
        <w:jc w:val="both"/>
        <w:rPr>
          <w:lang w:val="mn-MN"/>
        </w:rPr>
      </w:pPr>
      <w:r>
        <w:rPr>
          <w:lang w:val="mn-MN"/>
        </w:rPr>
        <w:tab/>
        <w:t xml:space="preserve">Эрүүл мэндийн яам </w:t>
      </w:r>
      <w:r>
        <w:t>“</w:t>
      </w:r>
      <w:r>
        <w:rPr>
          <w:lang w:val="mn-MN"/>
        </w:rPr>
        <w:t>Иргэдээс төрийн байгууллага, албан тушаалтанд гаргасан өргөдөл, гомдлыг шийдвэрлэх тухай</w:t>
      </w:r>
      <w:r>
        <w:t xml:space="preserve">” </w:t>
      </w:r>
      <w:r w:rsidRPr="00AD40DB">
        <w:rPr>
          <w:lang w:val="mn-MN"/>
        </w:rPr>
        <w:t>хуулийн 7 дугаар зүйлд заасан нийтлэг үүргийг хэрэгжүүлэх</w:t>
      </w:r>
      <w:r>
        <w:rPr>
          <w:lang w:val="mn-MN"/>
        </w:rPr>
        <w:t xml:space="preserve"> хүрээнд иргэд өргөдөл, гомдол гаргах эрхээ хэрэгжүүлэх нөхцөлийг бүрэн хангах зорилгоор Засгийн газрын Иргэд олон нийттэй харилцах 11-11 төвөөр хүлээн авч шийдвэрлэж байна.</w:t>
      </w:r>
    </w:p>
    <w:p w:rsidR="00C540AA" w:rsidRDefault="00C540AA" w:rsidP="0070267C">
      <w:pPr>
        <w:spacing w:line="360" w:lineRule="auto"/>
        <w:jc w:val="both"/>
        <w:rPr>
          <w:lang w:val="mn-MN"/>
        </w:rPr>
      </w:pPr>
      <w:r>
        <w:rPr>
          <w:lang w:val="mn-MN"/>
        </w:rPr>
        <w:tab/>
        <w:t>Тус тайланд Эрүүл мэндийн яам болон харьяа төрөлжсөн мэргэшлийн эмнэлэг, тусгай мэргэжлийн төвд 11-11 төвөөр ирүүлсэн өргөдөл, гомдлыг тусгасан.</w:t>
      </w:r>
    </w:p>
    <w:p w:rsidR="001619B5" w:rsidRDefault="00C540AA" w:rsidP="0070267C">
      <w:pPr>
        <w:spacing w:line="360" w:lineRule="auto"/>
        <w:ind w:firstLine="720"/>
        <w:jc w:val="both"/>
      </w:pPr>
      <w:r>
        <w:rPr>
          <w:lang w:val="mn-MN"/>
        </w:rPr>
        <w:t xml:space="preserve">Засгийн газрын 11-11 төвд 2025 оны 01 дүгээр сарын </w:t>
      </w:r>
      <w:r w:rsidR="00F67132">
        <w:rPr>
          <w:lang w:val="mn-MN"/>
        </w:rPr>
        <w:t>02</w:t>
      </w:r>
      <w:r>
        <w:rPr>
          <w:lang w:val="mn-MN"/>
        </w:rPr>
        <w:t>-н</w:t>
      </w:r>
      <w:r w:rsidR="00F67132">
        <w:rPr>
          <w:lang w:val="mn-MN"/>
        </w:rPr>
        <w:t>ы</w:t>
      </w:r>
      <w:r>
        <w:rPr>
          <w:lang w:val="mn-MN"/>
        </w:rPr>
        <w:t xml:space="preserve"> өдрөөс 2025 оны 0</w:t>
      </w:r>
      <w:r w:rsidR="00F67132">
        <w:rPr>
          <w:lang w:val="mn-MN"/>
        </w:rPr>
        <w:t>6</w:t>
      </w:r>
      <w:r>
        <w:rPr>
          <w:lang w:val="mn-MN"/>
        </w:rPr>
        <w:t xml:space="preserve"> дугаар сарын 3</w:t>
      </w:r>
      <w:r w:rsidR="00F67132">
        <w:rPr>
          <w:lang w:val="mn-MN"/>
        </w:rPr>
        <w:t>0</w:t>
      </w:r>
      <w:r>
        <w:rPr>
          <w:lang w:val="mn-MN"/>
        </w:rPr>
        <w:t>-н</w:t>
      </w:r>
      <w:r w:rsidR="000C5B2F">
        <w:rPr>
          <w:lang w:val="mn-MN"/>
        </w:rPr>
        <w:t>ы</w:t>
      </w:r>
      <w:r>
        <w:rPr>
          <w:lang w:val="mn-MN"/>
        </w:rPr>
        <w:t xml:space="preserve"> өдөр хүртэл </w:t>
      </w:r>
      <w:r w:rsidR="000C5B2F">
        <w:rPr>
          <w:lang w:val="mn-MN"/>
        </w:rPr>
        <w:t xml:space="preserve">нийт </w:t>
      </w:r>
      <w:r w:rsidR="00F67132">
        <w:rPr>
          <w:lang w:val="mn-MN"/>
        </w:rPr>
        <w:t>1609</w:t>
      </w:r>
      <w:r w:rsidR="001619B5">
        <w:rPr>
          <w:lang w:val="mn-MN"/>
        </w:rPr>
        <w:t xml:space="preserve"> өргөдөл, гомдол, талархал ирүүлснээс шийдвэрлэсэн-</w:t>
      </w:r>
      <w:r w:rsidR="00E24ABA">
        <w:rPr>
          <w:lang w:val="mn-MN"/>
        </w:rPr>
        <w:t>1286</w:t>
      </w:r>
      <w:r w:rsidR="001619B5">
        <w:rPr>
          <w:lang w:val="mn-MN"/>
        </w:rPr>
        <w:t xml:space="preserve"> буюу </w:t>
      </w:r>
      <w:r w:rsidR="00F67132">
        <w:rPr>
          <w:lang w:val="mn-MN"/>
        </w:rPr>
        <w:t>7</w:t>
      </w:r>
      <w:r w:rsidR="00E24ABA">
        <w:rPr>
          <w:lang w:val="mn-MN"/>
        </w:rPr>
        <w:t>9</w:t>
      </w:r>
      <w:r w:rsidR="00F67132">
        <w:rPr>
          <w:lang w:val="mn-MN"/>
        </w:rPr>
        <w:t>.</w:t>
      </w:r>
      <w:r w:rsidR="00E24ABA">
        <w:rPr>
          <w:lang w:val="mn-MN"/>
        </w:rPr>
        <w:t>9</w:t>
      </w:r>
      <w:r w:rsidR="001619B5">
        <w:rPr>
          <w:lang w:val="mn-MN"/>
        </w:rPr>
        <w:t>%, шийдвэрлээгүй-</w:t>
      </w:r>
      <w:r w:rsidR="00036180">
        <w:rPr>
          <w:lang w:val="mn-MN"/>
        </w:rPr>
        <w:t>323</w:t>
      </w:r>
      <w:r w:rsidR="001619B5">
        <w:rPr>
          <w:lang w:val="mn-MN"/>
        </w:rPr>
        <w:t xml:space="preserve"> буюу </w:t>
      </w:r>
      <w:r w:rsidR="00F67132">
        <w:rPr>
          <w:lang w:val="mn-MN"/>
        </w:rPr>
        <w:t>2</w:t>
      </w:r>
      <w:r w:rsidR="00036180">
        <w:rPr>
          <w:lang w:val="mn-MN"/>
        </w:rPr>
        <w:t>0</w:t>
      </w:r>
      <w:r w:rsidR="00F67132">
        <w:rPr>
          <w:lang w:val="mn-MN"/>
        </w:rPr>
        <w:t>.</w:t>
      </w:r>
      <w:r w:rsidR="00036180">
        <w:rPr>
          <w:lang w:val="mn-MN"/>
        </w:rPr>
        <w:t>1</w:t>
      </w:r>
      <w:r w:rsidR="001619B5">
        <w:rPr>
          <w:lang w:val="mn-MN"/>
        </w:rPr>
        <w:t>%-тай байна.</w:t>
      </w:r>
      <w:r w:rsidR="0074798A">
        <w:rPr>
          <w:lang w:val="mn-MN"/>
        </w:rPr>
        <w:t xml:space="preserve"> Үүнээс шийдвэрлэх хугацаа болоогүй 74 өргөдөл гомдол, хугацаа хэтэрсэн 249 өргөдөл гомдол байна. </w:t>
      </w:r>
      <w:r w:rsidR="00D05BE7">
        <w:rPr>
          <w:lang w:val="mn-MN"/>
        </w:rPr>
        <w:t xml:space="preserve">Хугацаа хэтрүүлэн шийдвэрлэсэн 53 өргөдөл гомдол байна. </w:t>
      </w:r>
      <w:r w:rsidR="002A5BE1">
        <w:rPr>
          <w:lang w:val="mn-MN"/>
        </w:rPr>
        <w:t xml:space="preserve"> </w:t>
      </w:r>
    </w:p>
    <w:p w:rsidR="001D1477" w:rsidRPr="001619B5" w:rsidRDefault="001D1477" w:rsidP="0070267C">
      <w:pPr>
        <w:spacing w:line="360" w:lineRule="auto"/>
        <w:ind w:firstLine="720"/>
        <w:jc w:val="both"/>
      </w:pPr>
      <w:proofErr w:type="spellStart"/>
      <w:r>
        <w:t>Иргэдээс</w:t>
      </w:r>
      <w:proofErr w:type="spellEnd"/>
      <w:r>
        <w:t xml:space="preserve"> </w:t>
      </w:r>
      <w:proofErr w:type="spellStart"/>
      <w:r>
        <w:t>ирүүлсэн</w:t>
      </w:r>
      <w:proofErr w:type="spellEnd"/>
      <w:r>
        <w:t xml:space="preserve"> </w:t>
      </w:r>
      <w:proofErr w:type="spellStart"/>
      <w:r>
        <w:t>нийт</w:t>
      </w:r>
      <w:proofErr w:type="spellEnd"/>
      <w:r>
        <w:t xml:space="preserve"> </w:t>
      </w:r>
      <w:r w:rsidR="00660BF1">
        <w:t>49.9</w:t>
      </w:r>
      <w:r w:rsidR="002A5BE1">
        <w:t xml:space="preserve">% </w:t>
      </w:r>
      <w:proofErr w:type="spellStart"/>
      <w:r>
        <w:t>өргөдөл</w:t>
      </w:r>
      <w:proofErr w:type="spellEnd"/>
      <w:r w:rsidR="002A5BE1">
        <w:t xml:space="preserve"> </w:t>
      </w:r>
      <w:proofErr w:type="spellStart"/>
      <w:r w:rsidR="002A5BE1">
        <w:t>гомдол</w:t>
      </w:r>
      <w:proofErr w:type="spellEnd"/>
      <w:r w:rsidR="002A5BE1">
        <w:t xml:space="preserve">, </w:t>
      </w:r>
      <w:r w:rsidR="00660BF1">
        <w:t>36</w:t>
      </w:r>
      <w:r w:rsidR="002A5BE1">
        <w:t>.</w:t>
      </w:r>
      <w:r w:rsidR="00660BF1">
        <w:t>9</w:t>
      </w:r>
      <w:r w:rsidR="002A5BE1">
        <w:t xml:space="preserve">% </w:t>
      </w:r>
      <w:proofErr w:type="spellStart"/>
      <w:r w:rsidR="002A5BE1">
        <w:t>нь</w:t>
      </w:r>
      <w:proofErr w:type="spellEnd"/>
      <w:r w:rsidR="002A5BE1">
        <w:t xml:space="preserve"> </w:t>
      </w:r>
      <w:proofErr w:type="spellStart"/>
      <w:r w:rsidR="002A5BE1">
        <w:t>талархал</w:t>
      </w:r>
      <w:proofErr w:type="spellEnd"/>
      <w:r w:rsidR="002A5BE1">
        <w:t>, 5</w:t>
      </w:r>
      <w:r w:rsidR="00660BF1">
        <w:t>.4</w:t>
      </w:r>
      <w:r w:rsidR="002A5BE1">
        <w:t xml:space="preserve">% </w:t>
      </w:r>
      <w:proofErr w:type="spellStart"/>
      <w:r w:rsidR="002A5BE1">
        <w:t>нь</w:t>
      </w:r>
      <w:proofErr w:type="spellEnd"/>
      <w:r w:rsidR="002A5BE1">
        <w:t xml:space="preserve"> </w:t>
      </w:r>
      <w:proofErr w:type="spellStart"/>
      <w:r w:rsidR="002A5BE1">
        <w:t>санал</w:t>
      </w:r>
      <w:proofErr w:type="spellEnd"/>
      <w:r w:rsidR="002A5BE1">
        <w:t xml:space="preserve">, </w:t>
      </w:r>
      <w:r w:rsidR="00660BF1">
        <w:t>5.9</w:t>
      </w:r>
      <w:r w:rsidR="002A5BE1">
        <w:t xml:space="preserve"> </w:t>
      </w:r>
      <w:proofErr w:type="spellStart"/>
      <w:r w:rsidR="002A5BE1">
        <w:t>хувь</w:t>
      </w:r>
      <w:proofErr w:type="spellEnd"/>
      <w:r w:rsidR="002A5BE1">
        <w:t xml:space="preserve"> </w:t>
      </w:r>
      <w:proofErr w:type="spellStart"/>
      <w:r w:rsidR="002A5BE1">
        <w:t>нь</w:t>
      </w:r>
      <w:proofErr w:type="spellEnd"/>
      <w:r w:rsidR="002A5BE1">
        <w:t xml:space="preserve"> </w:t>
      </w:r>
      <w:proofErr w:type="spellStart"/>
      <w:r w:rsidR="002A5BE1">
        <w:t>хүсэлт</w:t>
      </w:r>
      <w:proofErr w:type="spellEnd"/>
      <w:r w:rsidR="002A5BE1">
        <w:t>, 1.</w:t>
      </w:r>
      <w:r w:rsidR="00660BF1">
        <w:t>6</w:t>
      </w:r>
      <w:r w:rsidR="002A5BE1">
        <w:t xml:space="preserve">% </w:t>
      </w:r>
      <w:proofErr w:type="spellStart"/>
      <w:r w:rsidR="002A5BE1">
        <w:t>нь</w:t>
      </w:r>
      <w:proofErr w:type="spellEnd"/>
      <w:r w:rsidR="002A5BE1">
        <w:t xml:space="preserve"> </w:t>
      </w:r>
      <w:proofErr w:type="spellStart"/>
      <w:r w:rsidR="002A5BE1">
        <w:t>шүүмжлэл</w:t>
      </w:r>
      <w:proofErr w:type="spellEnd"/>
      <w:r w:rsidR="002A5BE1">
        <w:t xml:space="preserve"> </w:t>
      </w:r>
      <w:proofErr w:type="spellStart"/>
      <w:r w:rsidR="002A5BE1">
        <w:t>байна</w:t>
      </w:r>
      <w:proofErr w:type="spellEnd"/>
      <w:r w:rsidR="002A5BE1">
        <w:t>. /Хүснэгт-1/</w:t>
      </w:r>
    </w:p>
    <w:p w:rsidR="00C540AA" w:rsidRDefault="00C540AA" w:rsidP="00C540AA">
      <w:pPr>
        <w:ind w:firstLine="720"/>
        <w:jc w:val="right"/>
        <w:rPr>
          <w:lang w:val="mn-MN"/>
        </w:rPr>
      </w:pPr>
      <w:r>
        <w:rPr>
          <w:lang w:val="mn-MN"/>
        </w:rPr>
        <w:t>Хүснэгт-1</w:t>
      </w:r>
    </w:p>
    <w:p w:rsidR="001619B5" w:rsidRDefault="001619B5" w:rsidP="001619B5">
      <w:pPr>
        <w:ind w:firstLine="720"/>
        <w:jc w:val="center"/>
        <w:rPr>
          <w:lang w:val="mn-MN"/>
        </w:rPr>
      </w:pPr>
      <w:r>
        <w:rPr>
          <w:lang w:val="mn-MN"/>
        </w:rPr>
        <w:t>Өргөдөл, гомдлын төрөл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829"/>
      </w:tblGrid>
      <w:tr w:rsidR="00C540AA" w:rsidTr="00C540AA">
        <w:tc>
          <w:tcPr>
            <w:tcW w:w="562" w:type="dxa"/>
          </w:tcPr>
          <w:p w:rsidR="00C540AA" w:rsidRDefault="00C540AA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Д/д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Төрөл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Бодит тоо</w:t>
            </w:r>
          </w:p>
        </w:tc>
        <w:tc>
          <w:tcPr>
            <w:tcW w:w="2829" w:type="dxa"/>
          </w:tcPr>
          <w:p w:rsidR="00C540AA" w:rsidRDefault="00C540AA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Нийт өргөдөл, гомдолд эзлэх хувь</w:t>
            </w:r>
          </w:p>
        </w:tc>
      </w:tr>
      <w:tr w:rsidR="00C540AA" w:rsidTr="00C540AA">
        <w:tc>
          <w:tcPr>
            <w:tcW w:w="562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Гомдол</w:t>
            </w:r>
          </w:p>
        </w:tc>
        <w:tc>
          <w:tcPr>
            <w:tcW w:w="2977" w:type="dxa"/>
          </w:tcPr>
          <w:p w:rsidR="00C540AA" w:rsidRDefault="00A43368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804</w:t>
            </w:r>
          </w:p>
        </w:tc>
        <w:tc>
          <w:tcPr>
            <w:tcW w:w="2829" w:type="dxa"/>
          </w:tcPr>
          <w:p w:rsidR="00C540AA" w:rsidRDefault="00660BF1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49.9</w:t>
            </w:r>
          </w:p>
        </w:tc>
      </w:tr>
      <w:tr w:rsidR="00C540AA" w:rsidTr="00C540AA">
        <w:tc>
          <w:tcPr>
            <w:tcW w:w="562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Талархал</w:t>
            </w:r>
          </w:p>
        </w:tc>
        <w:tc>
          <w:tcPr>
            <w:tcW w:w="2977" w:type="dxa"/>
          </w:tcPr>
          <w:p w:rsidR="00C540AA" w:rsidRDefault="00A43368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595</w:t>
            </w:r>
          </w:p>
        </w:tc>
        <w:tc>
          <w:tcPr>
            <w:tcW w:w="2829" w:type="dxa"/>
          </w:tcPr>
          <w:p w:rsidR="00C540AA" w:rsidRDefault="00660BF1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36.9</w:t>
            </w:r>
          </w:p>
        </w:tc>
      </w:tr>
      <w:tr w:rsidR="00C540AA" w:rsidTr="00C540AA">
        <w:tc>
          <w:tcPr>
            <w:tcW w:w="562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Санал</w:t>
            </w:r>
          </w:p>
        </w:tc>
        <w:tc>
          <w:tcPr>
            <w:tcW w:w="2977" w:type="dxa"/>
          </w:tcPr>
          <w:p w:rsidR="00C540AA" w:rsidRDefault="00A43368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88</w:t>
            </w:r>
          </w:p>
        </w:tc>
        <w:tc>
          <w:tcPr>
            <w:tcW w:w="2829" w:type="dxa"/>
          </w:tcPr>
          <w:p w:rsidR="00C540AA" w:rsidRDefault="00660BF1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5.4</w:t>
            </w:r>
          </w:p>
        </w:tc>
      </w:tr>
      <w:tr w:rsidR="00C540AA" w:rsidTr="00C540AA">
        <w:tc>
          <w:tcPr>
            <w:tcW w:w="562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Хүсэлт</w:t>
            </w:r>
          </w:p>
        </w:tc>
        <w:tc>
          <w:tcPr>
            <w:tcW w:w="2977" w:type="dxa"/>
          </w:tcPr>
          <w:p w:rsidR="00C540AA" w:rsidRDefault="00A43368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96</w:t>
            </w:r>
          </w:p>
        </w:tc>
        <w:tc>
          <w:tcPr>
            <w:tcW w:w="2829" w:type="dxa"/>
          </w:tcPr>
          <w:p w:rsidR="00C540AA" w:rsidRDefault="00660BF1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5.9</w:t>
            </w:r>
          </w:p>
        </w:tc>
      </w:tr>
      <w:tr w:rsidR="00C540AA" w:rsidTr="00C540AA">
        <w:tc>
          <w:tcPr>
            <w:tcW w:w="562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2977" w:type="dxa"/>
          </w:tcPr>
          <w:p w:rsidR="00C540AA" w:rsidRDefault="00C540AA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Шүүмжлэл</w:t>
            </w:r>
          </w:p>
        </w:tc>
        <w:tc>
          <w:tcPr>
            <w:tcW w:w="2977" w:type="dxa"/>
          </w:tcPr>
          <w:p w:rsidR="00C540AA" w:rsidRPr="00E24ABA" w:rsidRDefault="00A43368" w:rsidP="00C540AA">
            <w:pPr>
              <w:jc w:val="center"/>
            </w:pPr>
            <w:r>
              <w:rPr>
                <w:lang w:val="mn-MN"/>
              </w:rPr>
              <w:t>26</w:t>
            </w:r>
          </w:p>
        </w:tc>
        <w:tc>
          <w:tcPr>
            <w:tcW w:w="2829" w:type="dxa"/>
          </w:tcPr>
          <w:p w:rsidR="00C540AA" w:rsidRPr="001619B5" w:rsidRDefault="00660BF1" w:rsidP="00C540AA">
            <w:pPr>
              <w:jc w:val="center"/>
            </w:pPr>
            <w:r>
              <w:t>1.6</w:t>
            </w:r>
          </w:p>
        </w:tc>
      </w:tr>
      <w:tr w:rsidR="001619B5">
        <w:tc>
          <w:tcPr>
            <w:tcW w:w="3539" w:type="dxa"/>
            <w:gridSpan w:val="2"/>
          </w:tcPr>
          <w:p w:rsidR="001619B5" w:rsidRDefault="001619B5" w:rsidP="00C540AA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Нийт</w:t>
            </w:r>
          </w:p>
        </w:tc>
        <w:tc>
          <w:tcPr>
            <w:tcW w:w="2977" w:type="dxa"/>
          </w:tcPr>
          <w:p w:rsidR="001619B5" w:rsidRDefault="00660BF1" w:rsidP="00C540A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1609</w:t>
            </w:r>
          </w:p>
        </w:tc>
        <w:tc>
          <w:tcPr>
            <w:tcW w:w="2829" w:type="dxa"/>
          </w:tcPr>
          <w:p w:rsidR="001619B5" w:rsidRDefault="001619B5" w:rsidP="00C540AA">
            <w:pPr>
              <w:jc w:val="center"/>
            </w:pPr>
            <w:r>
              <w:t>100%</w:t>
            </w:r>
          </w:p>
        </w:tc>
      </w:tr>
    </w:tbl>
    <w:p w:rsidR="00F84F86" w:rsidRDefault="00F84F86" w:rsidP="00C540AA">
      <w:pPr>
        <w:jc w:val="both"/>
      </w:pPr>
    </w:p>
    <w:p w:rsidR="00AD40DB" w:rsidRDefault="0070267C" w:rsidP="0070267C">
      <w:pPr>
        <w:spacing w:line="360" w:lineRule="auto"/>
        <w:ind w:firstLine="720"/>
        <w:jc w:val="both"/>
      </w:pPr>
      <w:proofErr w:type="spellStart"/>
      <w:r>
        <w:t>Өргөдөл</w:t>
      </w:r>
      <w:proofErr w:type="spellEnd"/>
      <w:r>
        <w:t xml:space="preserve"> </w:t>
      </w:r>
      <w:proofErr w:type="spellStart"/>
      <w:r>
        <w:t>гомдлыг</w:t>
      </w:r>
      <w:proofErr w:type="spellEnd"/>
      <w:r>
        <w:t xml:space="preserve"> </w:t>
      </w:r>
      <w:proofErr w:type="spellStart"/>
      <w:r>
        <w:t>агуулгаар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харвал</w:t>
      </w:r>
      <w:proofErr w:type="spellEnd"/>
      <w:r>
        <w:t xml:space="preserve"> </w:t>
      </w:r>
      <w:proofErr w:type="spellStart"/>
      <w:r w:rsidRPr="0070267C">
        <w:t>Эмчилгээ</w:t>
      </w:r>
      <w:proofErr w:type="spellEnd"/>
      <w:r w:rsidRPr="0070267C">
        <w:t xml:space="preserve"> </w:t>
      </w:r>
      <w:proofErr w:type="spellStart"/>
      <w:r w:rsidRPr="0070267C">
        <w:t>үйлчилгээний</w:t>
      </w:r>
      <w:proofErr w:type="spellEnd"/>
      <w:r w:rsidRPr="0070267C">
        <w:t xml:space="preserve"> </w:t>
      </w:r>
      <w:proofErr w:type="spellStart"/>
      <w:r w:rsidRPr="0070267C">
        <w:t>чанар</w:t>
      </w:r>
      <w:proofErr w:type="spellEnd"/>
      <w:r w:rsidRPr="0070267C">
        <w:t xml:space="preserve"> </w:t>
      </w:r>
      <w:proofErr w:type="spellStart"/>
      <w:r w:rsidRPr="0070267C">
        <w:t>хүртээмжтэй</w:t>
      </w:r>
      <w:proofErr w:type="spellEnd"/>
      <w:r w:rsidRPr="0070267C">
        <w:t xml:space="preserve"> </w:t>
      </w:r>
      <w:proofErr w:type="spellStart"/>
      <w:r w:rsidRPr="0070267C">
        <w:t>холбоотой</w:t>
      </w:r>
      <w:proofErr w:type="spellEnd"/>
      <w:r>
        <w:t xml:space="preserve"> 307 </w:t>
      </w:r>
      <w:proofErr w:type="spellStart"/>
      <w:r>
        <w:t>өргөдөл</w:t>
      </w:r>
      <w:proofErr w:type="spellEnd"/>
      <w:r>
        <w:t xml:space="preserve">, </w:t>
      </w:r>
      <w:proofErr w:type="spellStart"/>
      <w:r>
        <w:t>э</w:t>
      </w:r>
      <w:r w:rsidRPr="0070267C">
        <w:t>мч</w:t>
      </w:r>
      <w:proofErr w:type="spellEnd"/>
      <w:r w:rsidRPr="0070267C">
        <w:t xml:space="preserve"> </w:t>
      </w:r>
      <w:proofErr w:type="spellStart"/>
      <w:r w:rsidRPr="0070267C">
        <w:t>ажилтны</w:t>
      </w:r>
      <w:proofErr w:type="spellEnd"/>
      <w:r w:rsidRPr="0070267C">
        <w:t xml:space="preserve"> </w:t>
      </w:r>
      <w:proofErr w:type="spellStart"/>
      <w:r w:rsidRPr="0070267C">
        <w:t>харилцаа</w:t>
      </w:r>
      <w:proofErr w:type="spellEnd"/>
      <w:r w:rsidRPr="0070267C">
        <w:t xml:space="preserve"> </w:t>
      </w:r>
      <w:proofErr w:type="spellStart"/>
      <w:r w:rsidRPr="0070267C">
        <w:t>хандлага</w:t>
      </w:r>
      <w:proofErr w:type="spellEnd"/>
      <w:r w:rsidRPr="0070267C">
        <w:t xml:space="preserve"> </w:t>
      </w:r>
      <w:proofErr w:type="spellStart"/>
      <w:r w:rsidRPr="0070267C">
        <w:t>Ёс</w:t>
      </w:r>
      <w:proofErr w:type="spellEnd"/>
      <w:r w:rsidRPr="0070267C">
        <w:t xml:space="preserve"> </w:t>
      </w:r>
      <w:proofErr w:type="spellStart"/>
      <w:r w:rsidRPr="0070267C">
        <w:t>зүйтэй</w:t>
      </w:r>
      <w:proofErr w:type="spellEnd"/>
      <w:r w:rsidRPr="0070267C">
        <w:t xml:space="preserve"> </w:t>
      </w:r>
      <w:proofErr w:type="spellStart"/>
      <w:r w:rsidRPr="0070267C">
        <w:t>холбоотой</w:t>
      </w:r>
      <w:proofErr w:type="spellEnd"/>
      <w:r>
        <w:t xml:space="preserve"> 136 </w:t>
      </w:r>
      <w:proofErr w:type="spellStart"/>
      <w:r>
        <w:t>өргөдөл</w:t>
      </w:r>
      <w:proofErr w:type="spellEnd"/>
      <w:r>
        <w:t xml:space="preserve">, </w:t>
      </w:r>
      <w:proofErr w:type="spellStart"/>
      <w:r w:rsidRPr="0070267C">
        <w:t>Эмчилгээний</w:t>
      </w:r>
      <w:proofErr w:type="spellEnd"/>
      <w:r w:rsidRPr="0070267C">
        <w:t xml:space="preserve"> </w:t>
      </w:r>
      <w:proofErr w:type="spellStart"/>
      <w:r w:rsidRPr="0070267C">
        <w:t>төлбөр</w:t>
      </w:r>
      <w:proofErr w:type="spellEnd"/>
      <w:r w:rsidRPr="0070267C">
        <w:t xml:space="preserve">, </w:t>
      </w:r>
      <w:proofErr w:type="spellStart"/>
      <w:r w:rsidRPr="0070267C">
        <w:t>дэмжлэг</w:t>
      </w:r>
      <w:proofErr w:type="spellEnd"/>
      <w:r w:rsidRPr="0070267C">
        <w:t xml:space="preserve"> </w:t>
      </w:r>
      <w:proofErr w:type="spellStart"/>
      <w:r w:rsidRPr="0070267C">
        <w:t>хүсэхтэй</w:t>
      </w:r>
      <w:proofErr w:type="spellEnd"/>
      <w:r w:rsidRPr="0070267C">
        <w:t xml:space="preserve"> </w:t>
      </w:r>
      <w:proofErr w:type="spellStart"/>
      <w:r w:rsidRPr="0070267C">
        <w:t>холбоотой</w:t>
      </w:r>
      <w:proofErr w:type="spellEnd"/>
      <w:r>
        <w:t xml:space="preserve"> 209 </w:t>
      </w:r>
      <w:proofErr w:type="spellStart"/>
      <w:r>
        <w:t>өргөдөл</w:t>
      </w:r>
      <w:proofErr w:type="spellEnd"/>
      <w:r>
        <w:t xml:space="preserve">, </w:t>
      </w:r>
      <w:proofErr w:type="spellStart"/>
      <w:r>
        <w:t>б</w:t>
      </w:r>
      <w:r w:rsidRPr="0070267C">
        <w:t>усад</w:t>
      </w:r>
      <w:proofErr w:type="spellEnd"/>
      <w:r w:rsidRPr="0070267C">
        <w:t xml:space="preserve"> </w:t>
      </w:r>
      <w:proofErr w:type="spellStart"/>
      <w:r w:rsidRPr="0070267C">
        <w:t>асуудлаар</w:t>
      </w:r>
      <w:proofErr w:type="spellEnd"/>
      <w:r w:rsidRPr="0070267C">
        <w:t xml:space="preserve"> (</w:t>
      </w:r>
      <w:proofErr w:type="spellStart"/>
      <w:r w:rsidRPr="0070267C">
        <w:t>тодорхойлолт</w:t>
      </w:r>
      <w:proofErr w:type="spellEnd"/>
      <w:r w:rsidRPr="0070267C">
        <w:t xml:space="preserve"> </w:t>
      </w:r>
      <w:proofErr w:type="spellStart"/>
      <w:r w:rsidRPr="0070267C">
        <w:t>авах</w:t>
      </w:r>
      <w:proofErr w:type="spellEnd"/>
      <w:r w:rsidRPr="0070267C">
        <w:t xml:space="preserve">, </w:t>
      </w:r>
      <w:proofErr w:type="spellStart"/>
      <w:r w:rsidRPr="0070267C">
        <w:t>цахим</w:t>
      </w:r>
      <w:proofErr w:type="spellEnd"/>
      <w:r w:rsidRPr="0070267C">
        <w:t xml:space="preserve"> </w:t>
      </w:r>
      <w:proofErr w:type="spellStart"/>
      <w:r w:rsidRPr="0070267C">
        <w:t>бүртгэл</w:t>
      </w:r>
      <w:proofErr w:type="spellEnd"/>
      <w:r w:rsidRPr="0070267C">
        <w:t xml:space="preserve">, </w:t>
      </w:r>
      <w:proofErr w:type="spellStart"/>
      <w:r w:rsidRPr="0070267C">
        <w:t>шинжилгээний</w:t>
      </w:r>
      <w:proofErr w:type="spellEnd"/>
      <w:r w:rsidRPr="0070267C">
        <w:t xml:space="preserve"> </w:t>
      </w:r>
      <w:proofErr w:type="spellStart"/>
      <w:r w:rsidRPr="0070267C">
        <w:t>хариу</w:t>
      </w:r>
      <w:proofErr w:type="spellEnd"/>
      <w:r w:rsidRPr="0070267C">
        <w:t xml:space="preserve">, ЭМД </w:t>
      </w:r>
      <w:proofErr w:type="spellStart"/>
      <w:r w:rsidRPr="0070267C">
        <w:t>төлөлт</w:t>
      </w:r>
      <w:proofErr w:type="spellEnd"/>
      <w:r w:rsidRPr="0070267C">
        <w:t xml:space="preserve">, </w:t>
      </w:r>
      <w:proofErr w:type="spellStart"/>
      <w:r w:rsidRPr="0070267C">
        <w:t>битүүмж</w:t>
      </w:r>
      <w:proofErr w:type="spellEnd"/>
      <w:r w:rsidRPr="0070267C">
        <w:t xml:space="preserve"> </w:t>
      </w:r>
      <w:proofErr w:type="spellStart"/>
      <w:r w:rsidRPr="0070267C">
        <w:t>гаргах</w:t>
      </w:r>
      <w:proofErr w:type="spellEnd"/>
      <w:r w:rsidRPr="0070267C">
        <w:t xml:space="preserve">, </w:t>
      </w:r>
      <w:proofErr w:type="spellStart"/>
      <w:r w:rsidRPr="0070267C">
        <w:t>шалгалт</w:t>
      </w:r>
      <w:proofErr w:type="spellEnd"/>
      <w:r w:rsidRPr="0070267C">
        <w:t xml:space="preserve"> </w:t>
      </w:r>
      <w:proofErr w:type="spellStart"/>
      <w:r w:rsidRPr="0070267C">
        <w:t>болон</w:t>
      </w:r>
      <w:proofErr w:type="spellEnd"/>
      <w:r w:rsidRPr="0070267C">
        <w:t xml:space="preserve"> </w:t>
      </w:r>
      <w:proofErr w:type="spellStart"/>
      <w:r w:rsidRPr="0070267C">
        <w:t>багц</w:t>
      </w:r>
      <w:proofErr w:type="spellEnd"/>
      <w:r w:rsidRPr="0070267C">
        <w:t xml:space="preserve"> </w:t>
      </w:r>
      <w:proofErr w:type="spellStart"/>
      <w:r w:rsidRPr="0070267C">
        <w:t>цагийн</w:t>
      </w:r>
      <w:proofErr w:type="spellEnd"/>
      <w:r w:rsidRPr="0070267C">
        <w:t xml:space="preserve"> </w:t>
      </w:r>
      <w:proofErr w:type="spellStart"/>
      <w:r w:rsidRPr="0070267C">
        <w:t>тодорхойлолт</w:t>
      </w:r>
      <w:proofErr w:type="spellEnd"/>
      <w:r w:rsidRPr="0070267C">
        <w:t xml:space="preserve"> </w:t>
      </w:r>
      <w:proofErr w:type="spellStart"/>
      <w:r w:rsidRPr="0070267C">
        <w:t>гаргуулах</w:t>
      </w:r>
      <w:proofErr w:type="spellEnd"/>
      <w:r w:rsidRPr="0070267C">
        <w:t xml:space="preserve"> </w:t>
      </w:r>
      <w:proofErr w:type="spellStart"/>
      <w:r w:rsidRPr="0070267C">
        <w:t>г.м</w:t>
      </w:r>
      <w:proofErr w:type="spellEnd"/>
      <w:r w:rsidRPr="0070267C">
        <w:t>)</w:t>
      </w:r>
      <w:r>
        <w:t xml:space="preserve"> 152 </w:t>
      </w:r>
      <w:proofErr w:type="spellStart"/>
      <w:r>
        <w:t>өргөдөл</w:t>
      </w:r>
      <w:proofErr w:type="spellEnd"/>
      <w:r>
        <w:t xml:space="preserve"> </w:t>
      </w:r>
      <w:proofErr w:type="spellStart"/>
      <w:r>
        <w:t>гомдол</w:t>
      </w:r>
      <w:proofErr w:type="spellEnd"/>
      <w:r>
        <w:t xml:space="preserve"> </w:t>
      </w:r>
      <w:proofErr w:type="spellStart"/>
      <w:r>
        <w:t>хүлээн</w:t>
      </w:r>
      <w:proofErr w:type="spellEnd"/>
      <w:r>
        <w:t xml:space="preserve"> </w:t>
      </w:r>
      <w:proofErr w:type="spellStart"/>
      <w:r>
        <w:t>авсан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 xml:space="preserve">. </w:t>
      </w:r>
    </w:p>
    <w:p w:rsidR="00D05BE7" w:rsidRPr="00C540AA" w:rsidRDefault="00327C8D" w:rsidP="00327C8D">
      <w:pPr>
        <w:spacing w:line="360" w:lineRule="auto"/>
        <w:ind w:firstLine="720"/>
        <w:jc w:val="center"/>
      </w:pPr>
      <w:r>
        <w:t>--</w:t>
      </w:r>
      <w:proofErr w:type="spellStart"/>
      <w:r>
        <w:t>оОо</w:t>
      </w:r>
      <w:proofErr w:type="spellEnd"/>
      <w:r>
        <w:t>--</w:t>
      </w:r>
    </w:p>
    <w:sectPr w:rsidR="00D05BE7" w:rsidRPr="00C540AA" w:rsidSect="007473F7">
      <w:pgSz w:w="11907" w:h="16839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DB"/>
    <w:rsid w:val="00036180"/>
    <w:rsid w:val="00092BE9"/>
    <w:rsid w:val="000C5B2F"/>
    <w:rsid w:val="00155226"/>
    <w:rsid w:val="001619B5"/>
    <w:rsid w:val="001807BF"/>
    <w:rsid w:val="001D1477"/>
    <w:rsid w:val="001F1A47"/>
    <w:rsid w:val="002A5BE1"/>
    <w:rsid w:val="00327C8D"/>
    <w:rsid w:val="00337467"/>
    <w:rsid w:val="00370CEC"/>
    <w:rsid w:val="003B1FE9"/>
    <w:rsid w:val="00421393"/>
    <w:rsid w:val="00660BF1"/>
    <w:rsid w:val="0070267C"/>
    <w:rsid w:val="007268D3"/>
    <w:rsid w:val="007473F7"/>
    <w:rsid w:val="0074798A"/>
    <w:rsid w:val="007802DA"/>
    <w:rsid w:val="00787187"/>
    <w:rsid w:val="007C776C"/>
    <w:rsid w:val="008B4EA8"/>
    <w:rsid w:val="008D6621"/>
    <w:rsid w:val="00A43368"/>
    <w:rsid w:val="00AD40DB"/>
    <w:rsid w:val="00B52A21"/>
    <w:rsid w:val="00C540AA"/>
    <w:rsid w:val="00D05BE7"/>
    <w:rsid w:val="00D272EB"/>
    <w:rsid w:val="00DB67AD"/>
    <w:rsid w:val="00E24ABA"/>
    <w:rsid w:val="00E40E36"/>
    <w:rsid w:val="00EC4FEC"/>
    <w:rsid w:val="00ED4520"/>
    <w:rsid w:val="00F67132"/>
    <w:rsid w:val="00F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00EA"/>
  <w15:chartTrackingRefBased/>
  <w15:docId w15:val="{48BDC2A5-D9D2-4F12-B23B-AE4BF96E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0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0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0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0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0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0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0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Bayasgalan Batbayar</dc:creator>
  <cp:keywords/>
  <dc:description/>
  <cp:lastModifiedBy>Bayasgalan Batbayar</cp:lastModifiedBy>
  <cp:revision>11</cp:revision>
  <dcterms:created xsi:type="dcterms:W3CDTF">2025-04-21T01:53:00Z</dcterms:created>
  <dcterms:modified xsi:type="dcterms:W3CDTF">2025-07-04T07:48:00Z</dcterms:modified>
</cp:coreProperties>
</file>